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587" w:rsidRDefault="004E797D" w:rsidP="00BF0813">
      <w:pPr>
        <w:rPr>
          <w:b/>
          <w:sz w:val="18"/>
          <w:szCs w:val="18"/>
        </w:rPr>
      </w:pPr>
    </w:p>
    <w:p w:rsidR="00BF0813" w:rsidRDefault="00BF0813" w:rsidP="00BF0813">
      <w:pPr>
        <w:rPr>
          <w:b/>
          <w:sz w:val="24"/>
          <w:szCs w:val="24"/>
        </w:rPr>
      </w:pPr>
      <w:r w:rsidRPr="00594587">
        <w:rPr>
          <w:b/>
          <w:sz w:val="24"/>
          <w:szCs w:val="24"/>
        </w:rPr>
        <w:t>Socratic Seminar Scoring Guide</w:t>
      </w:r>
      <w:r>
        <w:rPr>
          <w:b/>
          <w:sz w:val="24"/>
          <w:szCs w:val="24"/>
        </w:rPr>
        <w:t xml:space="preserve"> </w:t>
      </w:r>
      <w:bookmarkStart w:id="0" w:name="_GoBack"/>
      <w:bookmarkEnd w:id="0"/>
    </w:p>
    <w:p w:rsidR="00BF0813" w:rsidRDefault="00BF0813" w:rsidP="00BF0813">
      <w:pPr>
        <w:pBdr>
          <w:top w:val="single" w:sz="4" w:space="1" w:color="auto"/>
          <w:left w:val="single" w:sz="4" w:space="4" w:color="auto"/>
          <w:bottom w:val="single" w:sz="4" w:space="1" w:color="auto"/>
          <w:right w:val="single" w:sz="4" w:space="4" w:color="auto"/>
        </w:pBdr>
        <w:spacing w:line="240" w:lineRule="auto"/>
        <w:rPr>
          <w:rFonts w:cs="Calibri"/>
          <w:b/>
          <w:sz w:val="18"/>
          <w:szCs w:val="18"/>
        </w:rPr>
      </w:pPr>
      <w:bookmarkStart w:id="1" w:name="sl-9-10-1"/>
      <w:r>
        <w:rPr>
          <w:rFonts w:cs="Calibri"/>
          <w:b/>
          <w:sz w:val="18"/>
          <w:szCs w:val="18"/>
        </w:rPr>
        <w:t>Standard Addressed</w:t>
      </w:r>
    </w:p>
    <w:p w:rsidR="00BF0813" w:rsidRPr="00C84BBC" w:rsidRDefault="00BF0813" w:rsidP="00BF0813">
      <w:pPr>
        <w:pStyle w:val="ColorfulList-Accent1"/>
        <w:numPr>
          <w:ilvl w:val="0"/>
          <w:numId w:val="10"/>
        </w:numPr>
        <w:pBdr>
          <w:top w:val="single" w:sz="4" w:space="1" w:color="auto"/>
          <w:left w:val="single" w:sz="4" w:space="4" w:color="auto"/>
          <w:bottom w:val="single" w:sz="4" w:space="1" w:color="auto"/>
          <w:right w:val="single" w:sz="4" w:space="4" w:color="auto"/>
        </w:pBdr>
        <w:spacing w:after="0" w:line="240" w:lineRule="auto"/>
        <w:rPr>
          <w:rFonts w:cs="Calibri"/>
          <w:b/>
          <w:sz w:val="18"/>
          <w:szCs w:val="18"/>
        </w:rPr>
      </w:pPr>
      <w:r w:rsidRPr="00C84BBC">
        <w:rPr>
          <w:rFonts w:eastAsia="Times New Roman" w:cs="Calibri"/>
          <w:sz w:val="18"/>
          <w:szCs w:val="18"/>
        </w:rPr>
        <w:t>SL.9-10.1.</w:t>
      </w:r>
      <w:bookmarkEnd w:id="1"/>
      <w:r w:rsidRPr="00C84BBC">
        <w:rPr>
          <w:rFonts w:eastAsia="Times New Roman" w:cs="Calibri"/>
          <w:sz w:val="18"/>
          <w:szCs w:val="18"/>
        </w:rPr>
        <w:t xml:space="preserve"> </w:t>
      </w:r>
      <w:r w:rsidRPr="00C84BBC">
        <w:rPr>
          <w:rFonts w:eastAsia="Times New Roman" w:cs="Calibri"/>
          <w:color w:val="3B3B3A"/>
          <w:sz w:val="18"/>
          <w:szCs w:val="18"/>
        </w:rPr>
        <w:t>Initiate and participate effectively in a range of collaborative discussions (one-on-one, in groups, and teacher-led) with diverse partners on grades 9–10 topics, texts, and issues, building on others’ ideas and expressing their own clearly and persuasively.</w:t>
      </w:r>
    </w:p>
    <w:p w:rsidR="00BF0813" w:rsidRPr="00C84BBC" w:rsidRDefault="00BF0813" w:rsidP="00BF0813">
      <w:pPr>
        <w:numPr>
          <w:ilvl w:val="0"/>
          <w:numId w:val="8"/>
        </w:num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Calibri"/>
          <w:color w:val="3B3B3A"/>
          <w:sz w:val="18"/>
          <w:szCs w:val="18"/>
        </w:rPr>
      </w:pPr>
      <w:r w:rsidRPr="00C84BBC">
        <w:rPr>
          <w:rFonts w:eastAsia="Times New Roman" w:cs="Calibri"/>
          <w:color w:val="3B3B3A"/>
          <w:sz w:val="18"/>
          <w:szCs w:val="18"/>
        </w:rPr>
        <w:t xml:space="preserve">Come to discussions prepared having read and researched material under </w:t>
      </w:r>
      <w:hyperlink r:id="rId5" w:history="1">
        <w:r w:rsidRPr="00C84BBC">
          <w:rPr>
            <w:rFonts w:eastAsia="Times New Roman" w:cs="Calibri"/>
            <w:sz w:val="18"/>
            <w:szCs w:val="18"/>
          </w:rPr>
          <w:t>study</w:t>
        </w:r>
      </w:hyperlink>
      <w:r w:rsidRPr="00C84BBC">
        <w:rPr>
          <w:rFonts w:eastAsia="Times New Roman" w:cs="Calibri"/>
          <w:sz w:val="18"/>
          <w:szCs w:val="18"/>
        </w:rPr>
        <w:t xml:space="preserve">; </w:t>
      </w:r>
      <w:r w:rsidRPr="00C84BBC">
        <w:rPr>
          <w:rFonts w:eastAsia="Times New Roman" w:cs="Calibri"/>
          <w:color w:val="3B3B3A"/>
          <w:sz w:val="18"/>
          <w:szCs w:val="18"/>
        </w:rPr>
        <w:t>explicitly draw on that preparation by referring to evidence from texts and other research on the topic or issue to stimulate a thoughtful, well-reasoned exchange of ideas.</w:t>
      </w:r>
    </w:p>
    <w:p w:rsidR="00BF0813" w:rsidRPr="00C84BBC" w:rsidRDefault="00BF0813" w:rsidP="00BF0813">
      <w:pPr>
        <w:numPr>
          <w:ilvl w:val="0"/>
          <w:numId w:val="8"/>
        </w:num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Calibri"/>
          <w:color w:val="3B3B3A"/>
          <w:sz w:val="18"/>
          <w:szCs w:val="18"/>
        </w:rPr>
      </w:pPr>
      <w:r w:rsidRPr="00C84BBC">
        <w:rPr>
          <w:rFonts w:eastAsia="Times New Roman" w:cs="Calibri"/>
          <w:color w:val="3B3B3A"/>
          <w:sz w:val="18"/>
          <w:szCs w:val="18"/>
        </w:rPr>
        <w:t>Work with peers to set rules for collegial discussions and decision-making (e.g., informal consensus, taking votes on key issues, presentation of alternate views), clear goals and deadlines, and individual roles as needed.</w:t>
      </w:r>
    </w:p>
    <w:p w:rsidR="00BF0813" w:rsidRPr="00C84BBC" w:rsidRDefault="00BF0813" w:rsidP="00BF0813">
      <w:pPr>
        <w:numPr>
          <w:ilvl w:val="0"/>
          <w:numId w:val="8"/>
        </w:num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Calibri"/>
          <w:color w:val="3B3B3A"/>
          <w:sz w:val="18"/>
          <w:szCs w:val="18"/>
        </w:rPr>
      </w:pPr>
      <w:r w:rsidRPr="00C84BBC">
        <w:rPr>
          <w:rFonts w:eastAsia="Times New Roman" w:cs="Calibri"/>
          <w:color w:val="3B3B3A"/>
          <w:sz w:val="18"/>
          <w:szCs w:val="18"/>
        </w:rPr>
        <w:t>Propel conversations by posing and responding to questions that relate the current discussion to broader themes or larger ideas; actively incorporate others into the discussion; and clarify, verify, or challenge ideas and conclusions.</w:t>
      </w:r>
    </w:p>
    <w:p w:rsidR="00BF0813" w:rsidRPr="00C84BBC" w:rsidRDefault="00BF0813" w:rsidP="00BF0813">
      <w:pPr>
        <w:numPr>
          <w:ilvl w:val="0"/>
          <w:numId w:val="8"/>
        </w:num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Calibri"/>
          <w:color w:val="3B3B3A"/>
          <w:sz w:val="18"/>
          <w:szCs w:val="18"/>
        </w:rPr>
      </w:pPr>
      <w:r w:rsidRPr="00C84BBC">
        <w:rPr>
          <w:rFonts w:eastAsia="Times New Roman" w:cs="Calibri"/>
          <w:color w:val="3B3B3A"/>
          <w:sz w:val="18"/>
          <w:szCs w:val="18"/>
        </w:rPr>
        <w:t>Respond thoughtfully to diverse perspectives, summarize points of agreement and disagreement, and, when warranted, qualify or justify their own views and understanding and make new connections in light of the evidence and reasoning presented.</w:t>
      </w:r>
    </w:p>
    <w:p w:rsidR="00BF0813" w:rsidRDefault="00BF0813" w:rsidP="00BF0813">
      <w:pPr>
        <w:rPr>
          <w:b/>
        </w:rPr>
      </w:pPr>
    </w:p>
    <w:p w:rsidR="00BF0813" w:rsidRPr="00C84BBC" w:rsidRDefault="00BF0813" w:rsidP="00BF0813">
      <w:pPr>
        <w:rPr>
          <w:b/>
        </w:rPr>
      </w:pPr>
      <w:r w:rsidRPr="00C84BBC">
        <w:rPr>
          <w:b/>
        </w:rPr>
        <w:t xml:space="preserve">Advanced: </w:t>
      </w:r>
      <w:r w:rsidRPr="00C84BBC">
        <w:t xml:space="preserve">Student meets </w:t>
      </w:r>
      <w:r w:rsidRPr="00C84BBC">
        <w:rPr>
          <w:i/>
        </w:rPr>
        <w:t>all</w:t>
      </w:r>
      <w:r w:rsidRPr="00C84BBC">
        <w:t xml:space="preserve"> of the </w:t>
      </w:r>
      <w:r w:rsidRPr="00C84BBC">
        <w:rPr>
          <w:i/>
        </w:rPr>
        <w:t xml:space="preserve">proficient </w:t>
      </w:r>
      <w:r w:rsidRPr="00C84BBC">
        <w:t>criteria plus</w:t>
      </w:r>
      <w:r w:rsidRPr="00C84BBC">
        <w:rPr>
          <w:i/>
        </w:rPr>
        <w:t xml:space="preserve"> one or more </w:t>
      </w:r>
      <w:r w:rsidRPr="00C84BBC">
        <w:t>of the following:</w:t>
      </w:r>
    </w:p>
    <w:p w:rsidR="00BF0813" w:rsidRPr="00C84BBC" w:rsidRDefault="00BF0813" w:rsidP="00BF0813">
      <w:pPr>
        <w:pStyle w:val="ColorfulList-Accent1"/>
        <w:numPr>
          <w:ilvl w:val="0"/>
          <w:numId w:val="3"/>
        </w:numPr>
      </w:pPr>
      <w:r w:rsidRPr="00C84BBC">
        <w:rPr>
          <w:rFonts w:eastAsia="Times New Roman" w:cs="Calibri"/>
          <w:b/>
          <w:sz w:val="24"/>
          <w:szCs w:val="24"/>
        </w:rPr>
        <w:t>Actively incorporates</w:t>
      </w:r>
      <w:r w:rsidRPr="00C84BBC">
        <w:rPr>
          <w:rFonts w:eastAsia="Times New Roman" w:cs="Calibri"/>
          <w:sz w:val="24"/>
          <w:szCs w:val="24"/>
        </w:rPr>
        <w:t xml:space="preserve"> others into the discussion</w:t>
      </w:r>
      <w:r w:rsidRPr="00C84BBC">
        <w:rPr>
          <w:b/>
        </w:rPr>
        <w:t xml:space="preserve"> </w:t>
      </w:r>
    </w:p>
    <w:p w:rsidR="00BF0813" w:rsidRPr="00C84BBC" w:rsidRDefault="00BF0813" w:rsidP="00BF0813">
      <w:pPr>
        <w:pStyle w:val="ColorfulList-Accent1"/>
        <w:numPr>
          <w:ilvl w:val="0"/>
          <w:numId w:val="3"/>
        </w:numPr>
      </w:pPr>
      <w:r w:rsidRPr="00C84BBC">
        <w:rPr>
          <w:b/>
        </w:rPr>
        <w:t>Challenges</w:t>
      </w:r>
      <w:r w:rsidRPr="00C84BBC">
        <w:t xml:space="preserve"> ideas and conclusions in </w:t>
      </w:r>
      <w:r w:rsidRPr="00C84BBC">
        <w:rPr>
          <w:rFonts w:eastAsia="Times New Roman" w:cs="Calibri"/>
        </w:rPr>
        <w:t>thoughtful, well-reasoned exchange of ideas</w:t>
      </w:r>
    </w:p>
    <w:p w:rsidR="00BF0813" w:rsidRPr="00C84BBC" w:rsidRDefault="00BF0813" w:rsidP="00BF0813">
      <w:pPr>
        <w:pStyle w:val="ColorfulList-Accent1"/>
        <w:numPr>
          <w:ilvl w:val="0"/>
          <w:numId w:val="3"/>
        </w:numPr>
      </w:pPr>
      <w:r w:rsidRPr="00C84BBC">
        <w:rPr>
          <w:b/>
        </w:rPr>
        <w:t>Summarizes</w:t>
      </w:r>
      <w:r w:rsidRPr="00C84BBC">
        <w:t xml:space="preserve"> </w:t>
      </w:r>
      <w:r w:rsidRPr="00C84BBC">
        <w:rPr>
          <w:rFonts w:eastAsia="Times New Roman" w:cs="Calibri"/>
          <w:sz w:val="24"/>
          <w:szCs w:val="24"/>
        </w:rPr>
        <w:t>points of agreement and disagreement</w:t>
      </w:r>
    </w:p>
    <w:p w:rsidR="00BF0813" w:rsidRPr="00C84BBC" w:rsidRDefault="00BF0813" w:rsidP="00BF0813">
      <w:pPr>
        <w:pStyle w:val="ColorfulList-Accent1"/>
        <w:numPr>
          <w:ilvl w:val="0"/>
          <w:numId w:val="3"/>
        </w:numPr>
      </w:pPr>
      <w:r w:rsidRPr="00C84BBC">
        <w:rPr>
          <w:rFonts w:eastAsia="Times New Roman" w:cs="Calibri"/>
          <w:b/>
          <w:sz w:val="24"/>
          <w:szCs w:val="24"/>
        </w:rPr>
        <w:t>Qualifies</w:t>
      </w:r>
      <w:r w:rsidRPr="00C84BBC">
        <w:rPr>
          <w:rFonts w:eastAsia="Times New Roman" w:cs="Calibri"/>
          <w:sz w:val="24"/>
          <w:szCs w:val="24"/>
        </w:rPr>
        <w:t xml:space="preserve"> or </w:t>
      </w:r>
      <w:r w:rsidRPr="00C84BBC">
        <w:rPr>
          <w:rFonts w:eastAsia="Times New Roman" w:cs="Calibri"/>
          <w:b/>
          <w:sz w:val="24"/>
          <w:szCs w:val="24"/>
        </w:rPr>
        <w:t>justifies</w:t>
      </w:r>
      <w:r w:rsidRPr="00C84BBC">
        <w:rPr>
          <w:rFonts w:eastAsia="Times New Roman" w:cs="Calibri"/>
          <w:sz w:val="24"/>
          <w:szCs w:val="24"/>
        </w:rPr>
        <w:t xml:space="preserve"> own views and understanding </w:t>
      </w:r>
    </w:p>
    <w:p w:rsidR="00BF0813" w:rsidRPr="00C84BBC" w:rsidRDefault="00BF0813" w:rsidP="00BF0813">
      <w:pPr>
        <w:pStyle w:val="ColorfulList-Accent1"/>
        <w:numPr>
          <w:ilvl w:val="0"/>
          <w:numId w:val="3"/>
        </w:numPr>
      </w:pPr>
      <w:r w:rsidRPr="00C84BBC">
        <w:rPr>
          <w:rFonts w:eastAsia="Times New Roman" w:cs="Calibri"/>
          <w:b/>
          <w:sz w:val="24"/>
          <w:szCs w:val="24"/>
        </w:rPr>
        <w:t>Makes new connections</w:t>
      </w:r>
      <w:r w:rsidRPr="00C84BBC">
        <w:rPr>
          <w:rFonts w:eastAsia="Times New Roman" w:cs="Calibri"/>
          <w:sz w:val="24"/>
          <w:szCs w:val="24"/>
        </w:rPr>
        <w:t xml:space="preserve"> in light of the evidence and reasoning presented</w:t>
      </w:r>
      <w:r w:rsidRPr="00C84BBC">
        <w:rPr>
          <w:rFonts w:eastAsia="Times New Roman" w:cs="Calibri"/>
          <w:b/>
          <w:sz w:val="24"/>
          <w:szCs w:val="24"/>
        </w:rPr>
        <w:t xml:space="preserve"> </w:t>
      </w:r>
    </w:p>
    <w:p w:rsidR="00BF0813" w:rsidRPr="00C84BBC" w:rsidRDefault="00BF0813" w:rsidP="00BF0813">
      <w:pPr>
        <w:pStyle w:val="ColorfulList-Accent1"/>
        <w:ind w:left="0"/>
        <w:rPr>
          <w:b/>
        </w:rPr>
      </w:pPr>
    </w:p>
    <w:p w:rsidR="00BF0813" w:rsidRPr="00C84BBC" w:rsidRDefault="00BF0813" w:rsidP="00BF0813">
      <w:pPr>
        <w:pStyle w:val="ColorfulList-Accent1"/>
        <w:ind w:left="0"/>
      </w:pPr>
      <w:r w:rsidRPr="00C84BBC">
        <w:rPr>
          <w:b/>
        </w:rPr>
        <w:t>Proficient</w:t>
      </w:r>
    </w:p>
    <w:p w:rsidR="00BF0813" w:rsidRPr="00C84BBC" w:rsidRDefault="00BF0813" w:rsidP="00BF0813">
      <w:pPr>
        <w:pStyle w:val="ColorfulList-Accent1"/>
        <w:numPr>
          <w:ilvl w:val="0"/>
          <w:numId w:val="7"/>
        </w:numPr>
      </w:pPr>
      <w:r w:rsidRPr="00C84BBC">
        <w:t xml:space="preserve">Student comes to discussion </w:t>
      </w:r>
      <w:r w:rsidRPr="00C84BBC">
        <w:rPr>
          <w:b/>
        </w:rPr>
        <w:t>prepared</w:t>
      </w:r>
      <w:r w:rsidRPr="00C84BBC">
        <w:t xml:space="preserve"> (with </w:t>
      </w:r>
      <w:r w:rsidRPr="00C84BBC">
        <w:rPr>
          <w:b/>
        </w:rPr>
        <w:t>completed preparation notes and text</w:t>
      </w:r>
      <w:r w:rsidRPr="00C84BBC">
        <w:t>)</w:t>
      </w:r>
    </w:p>
    <w:p w:rsidR="00BF0813" w:rsidRPr="00C84BBC" w:rsidRDefault="00BF0813" w:rsidP="00BF0813">
      <w:pPr>
        <w:pStyle w:val="ColorfulList-Accent1"/>
        <w:numPr>
          <w:ilvl w:val="0"/>
          <w:numId w:val="7"/>
        </w:numPr>
      </w:pPr>
      <w:r w:rsidRPr="00C84BBC">
        <w:t xml:space="preserve">Uses </w:t>
      </w:r>
      <w:r w:rsidRPr="00C84BBC">
        <w:rPr>
          <w:b/>
        </w:rPr>
        <w:t>body language</w:t>
      </w:r>
      <w:r w:rsidRPr="00C84BBC">
        <w:t xml:space="preserve"> and </w:t>
      </w:r>
      <w:r w:rsidRPr="00C84BBC">
        <w:rPr>
          <w:b/>
        </w:rPr>
        <w:t>eye contact</w:t>
      </w:r>
      <w:r w:rsidRPr="00C84BBC">
        <w:t xml:space="preserve"> to indicate </w:t>
      </w:r>
      <w:r w:rsidRPr="00C84BBC">
        <w:rPr>
          <w:b/>
        </w:rPr>
        <w:t>active listening</w:t>
      </w:r>
      <w:r w:rsidRPr="00C84BBC">
        <w:t xml:space="preserve"> for the </w:t>
      </w:r>
      <w:r w:rsidRPr="00C84BBC">
        <w:rPr>
          <w:b/>
        </w:rPr>
        <w:t>duration of the seminar</w:t>
      </w:r>
    </w:p>
    <w:p w:rsidR="00BF0813" w:rsidRPr="00C84BBC" w:rsidRDefault="00BF0813" w:rsidP="00BF0813">
      <w:pPr>
        <w:pStyle w:val="ColorfulList-Accent1"/>
        <w:numPr>
          <w:ilvl w:val="0"/>
          <w:numId w:val="7"/>
        </w:numPr>
      </w:pPr>
      <w:r w:rsidRPr="00C84BBC">
        <w:t xml:space="preserve">Both </w:t>
      </w:r>
      <w:r w:rsidRPr="00C84BBC">
        <w:rPr>
          <w:b/>
        </w:rPr>
        <w:t>poses</w:t>
      </w:r>
      <w:r w:rsidRPr="00C84BBC">
        <w:t xml:space="preserve"> and </w:t>
      </w:r>
      <w:r w:rsidRPr="00C84BBC">
        <w:rPr>
          <w:b/>
        </w:rPr>
        <w:t>responds</w:t>
      </w:r>
      <w:r w:rsidRPr="00C84BBC">
        <w:t xml:space="preserve"> to </w:t>
      </w:r>
      <w:r w:rsidRPr="00C84BBC">
        <w:rPr>
          <w:b/>
        </w:rPr>
        <w:t>questions</w:t>
      </w:r>
    </w:p>
    <w:p w:rsidR="00BF0813" w:rsidRPr="00C84BBC" w:rsidRDefault="00BF0813" w:rsidP="00BF0813">
      <w:pPr>
        <w:pStyle w:val="ColorfulList-Accent1"/>
        <w:numPr>
          <w:ilvl w:val="0"/>
          <w:numId w:val="7"/>
        </w:numPr>
      </w:pPr>
      <w:r w:rsidRPr="00C84BBC">
        <w:t>Participates by doing at least one of the following:</w:t>
      </w:r>
    </w:p>
    <w:p w:rsidR="00BF0813" w:rsidRPr="00C84BBC" w:rsidRDefault="00BF0813" w:rsidP="00BF0813">
      <w:pPr>
        <w:pStyle w:val="ColorfulList-Accent1"/>
        <w:numPr>
          <w:ilvl w:val="1"/>
          <w:numId w:val="7"/>
        </w:numPr>
      </w:pPr>
      <w:r w:rsidRPr="00C84BBC">
        <w:rPr>
          <w:b/>
        </w:rPr>
        <w:t>Building</w:t>
      </w:r>
      <w:r w:rsidRPr="00C84BBC">
        <w:t xml:space="preserve"> on the thoughts of others by using appropriate transition words and phrases</w:t>
      </w:r>
    </w:p>
    <w:p w:rsidR="00BF0813" w:rsidRPr="00C84BBC" w:rsidRDefault="00BF0813" w:rsidP="00BF0813">
      <w:pPr>
        <w:pStyle w:val="ColorfulList-Accent1"/>
        <w:numPr>
          <w:ilvl w:val="1"/>
          <w:numId w:val="7"/>
        </w:numPr>
      </w:pPr>
      <w:r w:rsidRPr="00C84BBC">
        <w:t xml:space="preserve">Asking </w:t>
      </w:r>
      <w:r w:rsidRPr="00C84BBC">
        <w:rPr>
          <w:b/>
        </w:rPr>
        <w:t>clarifying</w:t>
      </w:r>
      <w:r w:rsidRPr="00C84BBC">
        <w:t xml:space="preserve"> questions </w:t>
      </w:r>
    </w:p>
    <w:p w:rsidR="00BF0813" w:rsidRPr="00C84BBC" w:rsidRDefault="00BF0813" w:rsidP="00BF0813">
      <w:pPr>
        <w:pStyle w:val="ColorfulList-Accent1"/>
        <w:numPr>
          <w:ilvl w:val="1"/>
          <w:numId w:val="7"/>
        </w:numPr>
      </w:pPr>
      <w:r w:rsidRPr="00C84BBC">
        <w:rPr>
          <w:b/>
        </w:rPr>
        <w:t>Quoting</w:t>
      </w:r>
      <w:r w:rsidRPr="00C84BBC">
        <w:t xml:space="preserve"> the text to support a point</w:t>
      </w:r>
    </w:p>
    <w:p w:rsidR="00BF0813" w:rsidRPr="00C84BBC" w:rsidRDefault="00BF0813" w:rsidP="00BF0813">
      <w:pPr>
        <w:pStyle w:val="ColorfulList-Accent1"/>
        <w:numPr>
          <w:ilvl w:val="1"/>
          <w:numId w:val="7"/>
        </w:numPr>
      </w:pPr>
      <w:r w:rsidRPr="00C84BBC">
        <w:t xml:space="preserve">Using language of </w:t>
      </w:r>
      <w:r w:rsidRPr="00C84BBC">
        <w:rPr>
          <w:b/>
        </w:rPr>
        <w:t>recognition</w:t>
      </w:r>
      <w:r w:rsidRPr="00C84BBC">
        <w:t xml:space="preserve"> and </w:t>
      </w:r>
      <w:r w:rsidRPr="00C84BBC">
        <w:rPr>
          <w:b/>
        </w:rPr>
        <w:t>appreciation</w:t>
      </w:r>
      <w:r w:rsidRPr="00C84BBC">
        <w:t xml:space="preserve"> to promote </w:t>
      </w:r>
      <w:r w:rsidRPr="00C84BBC">
        <w:rPr>
          <w:b/>
        </w:rPr>
        <w:t xml:space="preserve">collaborative, </w:t>
      </w:r>
      <w:r w:rsidRPr="00C84BBC">
        <w:rPr>
          <w:rFonts w:eastAsia="Times New Roman" w:cs="Calibri"/>
          <w:b/>
        </w:rPr>
        <w:t>collegial</w:t>
      </w:r>
      <w:r w:rsidRPr="00C84BBC">
        <w:rPr>
          <w:b/>
        </w:rPr>
        <w:t xml:space="preserve"> discussions</w:t>
      </w:r>
    </w:p>
    <w:p w:rsidR="00BF0813" w:rsidRPr="00C84BBC" w:rsidRDefault="00BF0813" w:rsidP="00BF0813">
      <w:pPr>
        <w:pStyle w:val="ColorfulList-Accent1"/>
        <w:ind w:left="0"/>
        <w:rPr>
          <w:b/>
        </w:rPr>
      </w:pPr>
    </w:p>
    <w:p w:rsidR="00BF0813" w:rsidRPr="00C84BBC" w:rsidRDefault="00BF0813" w:rsidP="00BF0813">
      <w:pPr>
        <w:pStyle w:val="ColorfulList-Accent1"/>
        <w:ind w:left="0"/>
      </w:pPr>
      <w:r w:rsidRPr="00C84BBC">
        <w:rPr>
          <w:b/>
        </w:rPr>
        <w:t>Basic</w:t>
      </w:r>
      <w:r w:rsidRPr="00C84BBC">
        <w:t xml:space="preserve">: Student meets 2-3 of the </w:t>
      </w:r>
      <w:r w:rsidRPr="00C84BBC">
        <w:rPr>
          <w:i/>
        </w:rPr>
        <w:t>proficient</w:t>
      </w:r>
      <w:r w:rsidRPr="00C84BBC">
        <w:t xml:space="preserve"> criteria</w:t>
      </w:r>
    </w:p>
    <w:p w:rsidR="00BF0813" w:rsidRPr="00C84BBC" w:rsidRDefault="00BF0813" w:rsidP="00BF0813">
      <w:r w:rsidRPr="00C84BBC">
        <w:rPr>
          <w:b/>
        </w:rPr>
        <w:t xml:space="preserve">Below Basic: </w:t>
      </w:r>
      <w:r w:rsidRPr="00C84BBC">
        <w:t xml:space="preserve">Student meets only 1 of the </w:t>
      </w:r>
      <w:r w:rsidRPr="00C84BBC">
        <w:rPr>
          <w:i/>
        </w:rPr>
        <w:t>proficient</w:t>
      </w:r>
      <w:r w:rsidRPr="00C84BBC">
        <w:t xml:space="preserve"> criteria</w:t>
      </w:r>
    </w:p>
    <w:p w:rsidR="00BF0813" w:rsidRDefault="00BF0813">
      <w:r w:rsidRPr="00C84BBC">
        <w:rPr>
          <w:b/>
        </w:rPr>
        <w:t xml:space="preserve">Far Below Basic: </w:t>
      </w:r>
      <w:r w:rsidRPr="00C84BBC">
        <w:t xml:space="preserve">Student meets none of the </w:t>
      </w:r>
      <w:r w:rsidRPr="00C84BBC">
        <w:rPr>
          <w:i/>
        </w:rPr>
        <w:t>proficient</w:t>
      </w:r>
      <w:r w:rsidRPr="00C84BBC">
        <w:t xml:space="preserve"> criteria</w:t>
      </w:r>
    </w:p>
    <w:sectPr w:rsidR="00BF0813" w:rsidSect="00BF08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127"/>
    <w:multiLevelType w:val="hybridMultilevel"/>
    <w:tmpl w:val="6DD27794"/>
    <w:lvl w:ilvl="0" w:tplc="5862396C">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C1443"/>
    <w:multiLevelType w:val="hybridMultilevel"/>
    <w:tmpl w:val="0A8CDD10"/>
    <w:lvl w:ilvl="0" w:tplc="5862396C">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55351"/>
    <w:multiLevelType w:val="hybridMultilevel"/>
    <w:tmpl w:val="260866EC"/>
    <w:lvl w:ilvl="0" w:tplc="586239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E6CE1"/>
    <w:multiLevelType w:val="hybridMultilevel"/>
    <w:tmpl w:val="778CBFCE"/>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E95258"/>
    <w:multiLevelType w:val="hybridMultilevel"/>
    <w:tmpl w:val="8B9663C0"/>
    <w:lvl w:ilvl="0" w:tplc="586239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71455A"/>
    <w:multiLevelType w:val="hybridMultilevel"/>
    <w:tmpl w:val="B360EF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4B219D"/>
    <w:multiLevelType w:val="hybridMultilevel"/>
    <w:tmpl w:val="5590D62A"/>
    <w:lvl w:ilvl="0" w:tplc="586239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8278C9"/>
    <w:multiLevelType w:val="multilevel"/>
    <w:tmpl w:val="3F3A1FD6"/>
    <w:lvl w:ilvl="0">
      <w:start w:val="1"/>
      <w:numFmt w:val="bullet"/>
      <w:lvlText w:val="o"/>
      <w:lvlJc w:val="left"/>
      <w:pPr>
        <w:tabs>
          <w:tab w:val="num" w:pos="360"/>
        </w:tabs>
        <w:ind w:left="360" w:hanging="360"/>
      </w:pPr>
      <w:rPr>
        <w:rFonts w:ascii="Courier New" w:hAnsi="Courier New" w:cs="Aria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69873BD6"/>
    <w:multiLevelType w:val="multilevel"/>
    <w:tmpl w:val="9392E952"/>
    <w:lvl w:ilvl="0">
      <w:start w:val="1"/>
      <w:numFmt w:val="bullet"/>
      <w:lvlText w:val="o"/>
      <w:lvlJc w:val="left"/>
      <w:pPr>
        <w:tabs>
          <w:tab w:val="num" w:pos="360"/>
        </w:tabs>
        <w:ind w:left="360" w:hanging="360"/>
      </w:pPr>
      <w:rPr>
        <w:rFonts w:ascii="Courier New" w:hAnsi="Courier New" w:cs="Aria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756A30BD"/>
    <w:multiLevelType w:val="hybridMultilevel"/>
    <w:tmpl w:val="E53E0124"/>
    <w:lvl w:ilvl="0" w:tplc="586239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5"/>
  </w:num>
  <w:num w:numId="5">
    <w:abstractNumId w:val="0"/>
  </w:num>
  <w:num w:numId="6">
    <w:abstractNumId w:val="1"/>
  </w:num>
  <w:num w:numId="7">
    <w:abstractNumId w:val="6"/>
  </w:num>
  <w:num w:numId="8">
    <w:abstractNumId w:val="7"/>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594587"/>
    <w:rsid w:val="004E797D"/>
    <w:rsid w:val="00BF0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594587"/>
    <w:pPr>
      <w:ind w:left="720"/>
      <w:contextualSpacing/>
    </w:pPr>
  </w:style>
  <w:style w:type="character" w:styleId="Hyperlink">
    <w:name w:val="Hyperlink"/>
    <w:uiPriority w:val="99"/>
    <w:semiHidden/>
    <w:unhideWhenUsed/>
    <w:rsid w:val="00034D94"/>
    <w:rPr>
      <w:strike w:val="0"/>
      <w:dstrike w:val="0"/>
      <w:color w:val="8A2003"/>
      <w:u w:val="none"/>
      <w:effect w:val="none"/>
    </w:rPr>
  </w:style>
  <w:style w:type="paragraph" w:styleId="BalloonText">
    <w:name w:val="Balloon Text"/>
    <w:basedOn w:val="Normal"/>
    <w:link w:val="BalloonTextChar"/>
    <w:uiPriority w:val="99"/>
    <w:semiHidden/>
    <w:unhideWhenUsed/>
    <w:rsid w:val="00E55B8E"/>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E55B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230643">
      <w:bodyDiv w:val="1"/>
      <w:marLeft w:val="0"/>
      <w:marRight w:val="0"/>
      <w:marTop w:val="0"/>
      <w:marBottom w:val="0"/>
      <w:divBdr>
        <w:top w:val="none" w:sz="0" w:space="0" w:color="auto"/>
        <w:left w:val="none" w:sz="0" w:space="0" w:color="auto"/>
        <w:bottom w:val="none" w:sz="0" w:space="0" w:color="auto"/>
        <w:right w:val="none" w:sz="0" w:space="0" w:color="auto"/>
      </w:divBdr>
      <w:divsChild>
        <w:div w:id="1695114130">
          <w:marLeft w:val="0"/>
          <w:marRight w:val="0"/>
          <w:marTop w:val="0"/>
          <w:marBottom w:val="0"/>
          <w:divBdr>
            <w:top w:val="none" w:sz="0" w:space="0" w:color="auto"/>
            <w:left w:val="none" w:sz="0" w:space="0" w:color="auto"/>
            <w:bottom w:val="none" w:sz="0" w:space="0" w:color="auto"/>
            <w:right w:val="none" w:sz="0" w:space="0" w:color="auto"/>
          </w:divBdr>
          <w:divsChild>
            <w:div w:id="1326124409">
              <w:marLeft w:val="0"/>
              <w:marRight w:val="0"/>
              <w:marTop w:val="0"/>
              <w:marBottom w:val="0"/>
              <w:divBdr>
                <w:top w:val="none" w:sz="0" w:space="0" w:color="auto"/>
                <w:left w:val="none" w:sz="0" w:space="0" w:color="auto"/>
                <w:bottom w:val="none" w:sz="0" w:space="0" w:color="auto"/>
                <w:right w:val="none" w:sz="0" w:space="0" w:color="auto"/>
              </w:divBdr>
              <w:divsChild>
                <w:div w:id="660742442">
                  <w:marLeft w:val="0"/>
                  <w:marRight w:val="195"/>
                  <w:marTop w:val="0"/>
                  <w:marBottom w:val="0"/>
                  <w:divBdr>
                    <w:top w:val="none" w:sz="0" w:space="0" w:color="auto"/>
                    <w:left w:val="none" w:sz="0" w:space="0" w:color="auto"/>
                    <w:bottom w:val="none" w:sz="0" w:space="0" w:color="auto"/>
                    <w:right w:val="none" w:sz="0" w:space="0" w:color="auto"/>
                  </w:divBdr>
                  <w:divsChild>
                    <w:div w:id="885096434">
                      <w:marLeft w:val="0"/>
                      <w:marRight w:val="0"/>
                      <w:marTop w:val="0"/>
                      <w:marBottom w:val="0"/>
                      <w:divBdr>
                        <w:top w:val="none" w:sz="0" w:space="0" w:color="auto"/>
                        <w:left w:val="none" w:sz="0" w:space="0" w:color="auto"/>
                        <w:bottom w:val="none" w:sz="0" w:space="0" w:color="auto"/>
                        <w:right w:val="none" w:sz="0" w:space="0" w:color="auto"/>
                      </w:divBdr>
                      <w:divsChild>
                        <w:div w:id="17305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estandards.org/the-standards/english-language-arts-standards/speaking-and-listening-6-12/grade-9-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2493</CharactersWithSpaces>
  <SharedDoc>false</SharedDoc>
  <HLinks>
    <vt:vector size="6" baseType="variant">
      <vt:variant>
        <vt:i4>8192117</vt:i4>
      </vt:variant>
      <vt:variant>
        <vt:i4>0</vt:i4>
      </vt:variant>
      <vt:variant>
        <vt:i4>0</vt:i4>
      </vt:variant>
      <vt:variant>
        <vt:i4>5</vt:i4>
      </vt:variant>
      <vt:variant>
        <vt:lpwstr>http://www.corestandards.org/the-standards/english-language-arts-standards/speaking-and-listening-6-12/grade-9-10/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paigep</dc:creator>
  <cp:keywords/>
  <cp:lastModifiedBy>mwilkerson</cp:lastModifiedBy>
  <cp:revision>2</cp:revision>
  <cp:lastPrinted>2012-09-11T20:09:00Z</cp:lastPrinted>
  <dcterms:created xsi:type="dcterms:W3CDTF">2013-10-29T18:36:00Z</dcterms:created>
  <dcterms:modified xsi:type="dcterms:W3CDTF">2013-10-29T18:36:00Z</dcterms:modified>
</cp:coreProperties>
</file>